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1C243" w14:textId="77777777" w:rsidR="005228C7" w:rsidRDefault="005228C7" w:rsidP="005228C7">
      <w:pPr>
        <w:spacing w:after="0"/>
        <w:jc w:val="center"/>
        <w:rPr>
          <w:b/>
          <w:bCs/>
          <w:lang w:val="hr-HR"/>
        </w:rPr>
      </w:pPr>
    </w:p>
    <w:p w14:paraId="6A0D0841" w14:textId="0EDC8EC3" w:rsidR="005228C7" w:rsidRPr="005228C7" w:rsidRDefault="005228C7" w:rsidP="005228C7">
      <w:pPr>
        <w:jc w:val="center"/>
        <w:rPr>
          <w:b/>
          <w:bCs/>
          <w:lang w:val="en-GB"/>
        </w:rPr>
      </w:pPr>
      <w:r w:rsidRPr="005228C7">
        <w:rPr>
          <w:b/>
          <w:bCs/>
          <w:lang w:val="en-GB"/>
        </w:rPr>
        <w:t xml:space="preserve">The Final Event in </w:t>
      </w:r>
      <w:proofErr w:type="spellStart"/>
      <w:r w:rsidRPr="005228C7">
        <w:rPr>
          <w:b/>
          <w:bCs/>
          <w:lang w:val="en-GB"/>
        </w:rPr>
        <w:t>Ormož</w:t>
      </w:r>
      <w:proofErr w:type="spellEnd"/>
      <w:r w:rsidRPr="005228C7">
        <w:rPr>
          <w:b/>
          <w:bCs/>
          <w:lang w:val="en-GB"/>
        </w:rPr>
        <w:t>, Slovenia</w:t>
      </w:r>
      <w:r w:rsidR="00C76517">
        <w:rPr>
          <w:b/>
          <w:bCs/>
          <w:lang w:val="en-GB"/>
        </w:rPr>
        <w:t xml:space="preserve"> for EU Project “BEYOND”</w:t>
      </w:r>
      <w:r w:rsidRPr="005228C7">
        <w:rPr>
          <w:b/>
          <w:bCs/>
          <w:lang w:val="en-GB"/>
        </w:rPr>
        <w:t xml:space="preserve"> Emphasizes how Tourism and Cultural Heritage Create a Sense of Belonging and Solidarity in the Community</w:t>
      </w:r>
    </w:p>
    <w:p w14:paraId="72DF6427" w14:textId="77777777" w:rsidR="005228C7" w:rsidRPr="005228C7" w:rsidRDefault="005228C7" w:rsidP="005228C7">
      <w:pPr>
        <w:spacing w:after="0"/>
        <w:jc w:val="both"/>
        <w:rPr>
          <w:lang w:val="en-GB"/>
        </w:rPr>
      </w:pPr>
      <w:r w:rsidRPr="005228C7">
        <w:rPr>
          <w:lang w:val="en-GB"/>
        </w:rPr>
        <w:t xml:space="preserve">From 23.10.2024 to 25.10.2024., the Municipality of </w:t>
      </w:r>
      <w:proofErr w:type="spellStart"/>
      <w:r w:rsidRPr="005228C7">
        <w:rPr>
          <w:lang w:val="en-GB"/>
        </w:rPr>
        <w:t>Ormož</w:t>
      </w:r>
      <w:proofErr w:type="spellEnd"/>
      <w:r w:rsidRPr="005228C7">
        <w:rPr>
          <w:lang w:val="en-GB"/>
        </w:rPr>
        <w:t xml:space="preserve"> hosted the final event of Project „BEYOND“ („Rural Communities pushing BEYOND COVID-19). . All activities of the event were held in-situ. The activities were organized in a manner ensuring that the following objectives were achieved:</w:t>
      </w:r>
    </w:p>
    <w:p w14:paraId="7F121F1B" w14:textId="27F92D65" w:rsidR="005228C7" w:rsidRPr="005228C7" w:rsidRDefault="005228C7" w:rsidP="005228C7">
      <w:pPr>
        <w:spacing w:after="0"/>
        <w:ind w:left="720"/>
        <w:jc w:val="both"/>
        <w:rPr>
          <w:lang w:val="en-GB"/>
        </w:rPr>
      </w:pPr>
      <w:r w:rsidRPr="005228C7">
        <w:rPr>
          <w:lang w:val="en-GB"/>
        </w:rPr>
        <w:t>• To raise awareness about how local authorities work with citizens and adapt to their needs in times of crisis (i.e. relating to organizing public events and measures that bring citizens together and promote local development COVID-19)</w:t>
      </w:r>
    </w:p>
    <w:p w14:paraId="26591FEF" w14:textId="06913F98" w:rsidR="005228C7" w:rsidRDefault="005228C7" w:rsidP="005228C7">
      <w:pPr>
        <w:spacing w:after="0"/>
        <w:ind w:left="720"/>
        <w:jc w:val="both"/>
        <w:rPr>
          <w:lang w:val="en-GB"/>
        </w:rPr>
      </w:pPr>
      <w:r w:rsidRPr="005228C7">
        <w:rPr>
          <w:lang w:val="en-GB"/>
        </w:rPr>
        <w:t>• To enhance the capacity and understanding of citizens about how to organize actions that build sense of belonging and solidarity in rural communities</w:t>
      </w:r>
    </w:p>
    <w:p w14:paraId="1D1C4536" w14:textId="77777777" w:rsidR="005228C7" w:rsidRDefault="005228C7" w:rsidP="005228C7">
      <w:pPr>
        <w:spacing w:after="0"/>
        <w:jc w:val="both"/>
        <w:rPr>
          <w:lang w:val="en-GB"/>
        </w:rPr>
      </w:pPr>
    </w:p>
    <w:p w14:paraId="07E1D7DB" w14:textId="77777777" w:rsidR="005228C7" w:rsidRDefault="005228C7" w:rsidP="005228C7">
      <w:pPr>
        <w:spacing w:after="0"/>
        <w:jc w:val="both"/>
        <w:rPr>
          <w:lang w:val="en-GB"/>
        </w:rPr>
      </w:pPr>
      <w:r w:rsidRPr="005228C7">
        <w:rPr>
          <w:lang w:val="en-GB"/>
        </w:rPr>
        <w:t xml:space="preserve">Day 1 of the event (Wednesday, October 23rd, 2024) was organized as welcoming presentations and a cultural demonstration that takes into account the lessons-learnt during the COVID 19 pandemic.  </w:t>
      </w:r>
    </w:p>
    <w:p w14:paraId="7E22982A" w14:textId="77777777" w:rsidR="005228C7" w:rsidRDefault="005228C7" w:rsidP="005228C7">
      <w:pPr>
        <w:spacing w:after="0"/>
        <w:ind w:firstLine="720"/>
        <w:jc w:val="both"/>
        <w:rPr>
          <w:lang w:val="en-GB"/>
        </w:rPr>
      </w:pPr>
      <w:r w:rsidRPr="005228C7">
        <w:rPr>
          <w:lang w:val="en-GB"/>
        </w:rPr>
        <w:t xml:space="preserve">Day 2 of the event (Thursday, October 24th, 2024) was organized as a series of site visits to small producers that endured the COVID-19 pandemic (Vegetable Farm Kumer and </w:t>
      </w:r>
      <w:proofErr w:type="spellStart"/>
      <w:r w:rsidRPr="005228C7">
        <w:rPr>
          <w:lang w:val="en-GB"/>
        </w:rPr>
        <w:t>Puklavec</w:t>
      </w:r>
      <w:proofErr w:type="spellEnd"/>
      <w:r w:rsidRPr="005228C7">
        <w:rPr>
          <w:lang w:val="en-GB"/>
        </w:rPr>
        <w:t xml:space="preserve"> Family Wines) . There was also a site visit to the CSO </w:t>
      </w:r>
      <w:proofErr w:type="spellStart"/>
      <w:r w:rsidRPr="005228C7">
        <w:rPr>
          <w:lang w:val="en-GB"/>
        </w:rPr>
        <w:t>Ormož</w:t>
      </w:r>
      <w:proofErr w:type="spellEnd"/>
      <w:r w:rsidRPr="005228C7">
        <w:rPr>
          <w:lang w:val="en-GB"/>
        </w:rPr>
        <w:t xml:space="preserve"> (the elderly care facility in the town). The second part of the visit included a visit to the </w:t>
      </w:r>
      <w:proofErr w:type="spellStart"/>
      <w:r w:rsidRPr="005228C7">
        <w:rPr>
          <w:lang w:val="en-GB"/>
        </w:rPr>
        <w:t>Ormož</w:t>
      </w:r>
      <w:proofErr w:type="spellEnd"/>
      <w:r w:rsidRPr="005228C7">
        <w:rPr>
          <w:lang w:val="en-GB"/>
        </w:rPr>
        <w:t xml:space="preserve"> lagoons along the Drava River as a means to emphasize the importance of cross-border cooperation (b/w Croatia and Slovenia). The cultural assets of the tourism destination “</w:t>
      </w:r>
      <w:proofErr w:type="spellStart"/>
      <w:r w:rsidRPr="005228C7">
        <w:rPr>
          <w:lang w:val="en-GB"/>
        </w:rPr>
        <w:t>Jeruzalem</w:t>
      </w:r>
      <w:proofErr w:type="spellEnd"/>
      <w:r w:rsidRPr="005228C7">
        <w:rPr>
          <w:lang w:val="en-GB"/>
        </w:rPr>
        <w:t xml:space="preserve">” were also presented as a means to show how tourism related activities contribute to building community spirit, sense of identity in the community, and create solidarity among citizens from different groups.    </w:t>
      </w:r>
    </w:p>
    <w:p w14:paraId="4180C13D" w14:textId="10347886" w:rsidR="005228C7" w:rsidRDefault="005228C7" w:rsidP="005228C7">
      <w:pPr>
        <w:spacing w:after="0"/>
        <w:ind w:firstLine="720"/>
        <w:jc w:val="both"/>
        <w:rPr>
          <w:lang w:val="en-GB"/>
        </w:rPr>
      </w:pPr>
      <w:r w:rsidRPr="005228C7">
        <w:rPr>
          <w:lang w:val="en-GB"/>
        </w:rPr>
        <w:t xml:space="preserve">Day 3 of the event (Friday, October 25th 2024) included the organization of the closing conference. In the week previous to the event, the partners held a project meeting where the final details of the cooperation agreement and final publication (“Citizens’ Guidebook) were finalized. At the closing conference, the cooperation agreement was signed by all partner representatives. The agreement serves as a means to sustain and build on the project concept over the long-term.  Apart from the signing, the final project results were presented to the attendees, the “citizens’ guidebook” was presented and distributed as printed and online copies, and interviews were held with the media (from Croatia and Slovenia). The event ended with a short tour of the </w:t>
      </w:r>
      <w:proofErr w:type="spellStart"/>
      <w:r w:rsidRPr="005228C7">
        <w:rPr>
          <w:lang w:val="en-GB"/>
        </w:rPr>
        <w:t>Ormož</w:t>
      </w:r>
      <w:proofErr w:type="spellEnd"/>
      <w:r w:rsidRPr="005228C7">
        <w:rPr>
          <w:lang w:val="en-GB"/>
        </w:rPr>
        <w:t xml:space="preserve"> Museum and the Castle of </w:t>
      </w:r>
      <w:proofErr w:type="spellStart"/>
      <w:r w:rsidRPr="005228C7">
        <w:rPr>
          <w:lang w:val="en-GB"/>
        </w:rPr>
        <w:t>Ormož</w:t>
      </w:r>
      <w:proofErr w:type="spellEnd"/>
      <w:r w:rsidRPr="005228C7">
        <w:rPr>
          <w:lang w:val="en-GB"/>
        </w:rPr>
        <w:t>.</w:t>
      </w:r>
    </w:p>
    <w:p w14:paraId="315951F7" w14:textId="6506D35F" w:rsidR="005228C7" w:rsidRDefault="005228C7" w:rsidP="005228C7">
      <w:pPr>
        <w:spacing w:after="0"/>
        <w:jc w:val="both"/>
        <w:rPr>
          <w:rFonts w:asciiTheme="majorHAnsi" w:hAnsiTheme="majorHAnsi" w:cstheme="majorHAnsi"/>
          <w:bCs/>
          <w:lang w:val="en-GB"/>
        </w:rPr>
      </w:pPr>
      <w:r w:rsidRPr="005228C7">
        <w:rPr>
          <w:rFonts w:asciiTheme="majorHAnsi" w:hAnsiTheme="majorHAnsi" w:cstheme="majorHAnsi"/>
          <w:bCs/>
          <w:lang w:val="en-GB"/>
        </w:rPr>
        <w:t>Via the approach to organizing and implementing the event, participants learned:</w:t>
      </w:r>
    </w:p>
    <w:p w14:paraId="01B70D1C" w14:textId="77777777" w:rsidR="005228C7" w:rsidRPr="005228C7" w:rsidRDefault="005228C7" w:rsidP="005228C7">
      <w:pPr>
        <w:spacing w:after="0"/>
        <w:jc w:val="both"/>
        <w:rPr>
          <w:rFonts w:asciiTheme="majorHAnsi" w:hAnsiTheme="majorHAnsi" w:cstheme="majorHAnsi"/>
          <w:bCs/>
          <w:lang w:val="en-GB"/>
        </w:rPr>
      </w:pPr>
    </w:p>
    <w:p w14:paraId="4AAA45A0" w14:textId="77777777" w:rsidR="005228C7" w:rsidRPr="005228C7" w:rsidRDefault="005228C7" w:rsidP="005228C7">
      <w:pPr>
        <w:pStyle w:val="ListParagraph"/>
        <w:numPr>
          <w:ilvl w:val="0"/>
          <w:numId w:val="1"/>
        </w:numPr>
        <w:spacing w:after="0"/>
        <w:jc w:val="both"/>
        <w:rPr>
          <w:rFonts w:asciiTheme="majorHAnsi" w:eastAsia="Calibri" w:hAnsiTheme="majorHAnsi" w:cstheme="majorHAnsi"/>
          <w:bCs/>
          <w:color w:val="auto"/>
          <w:sz w:val="22"/>
        </w:rPr>
      </w:pPr>
      <w:r w:rsidRPr="005228C7">
        <w:rPr>
          <w:rFonts w:asciiTheme="majorHAnsi" w:eastAsia="Calibri" w:hAnsiTheme="majorHAnsi" w:cstheme="majorHAnsi"/>
          <w:bCs/>
          <w:color w:val="auto"/>
          <w:sz w:val="22"/>
        </w:rPr>
        <w:t xml:space="preserve">How to adjust and use local cultural and tourism assets (e.g. public events) as a means to have citizens remain resilient in times of crisis; </w:t>
      </w:r>
    </w:p>
    <w:p w14:paraId="013DDD40" w14:textId="1DF6F586" w:rsidR="005228C7" w:rsidRDefault="005228C7" w:rsidP="005228C7">
      <w:pPr>
        <w:numPr>
          <w:ilvl w:val="0"/>
          <w:numId w:val="1"/>
        </w:numPr>
        <w:spacing w:after="0" w:line="240" w:lineRule="auto"/>
        <w:jc w:val="both"/>
        <w:rPr>
          <w:rFonts w:asciiTheme="majorHAnsi" w:hAnsiTheme="majorHAnsi" w:cstheme="majorHAnsi"/>
          <w:bCs/>
          <w:lang w:val="en-GB"/>
        </w:rPr>
      </w:pPr>
      <w:r w:rsidRPr="005228C7">
        <w:rPr>
          <w:rFonts w:asciiTheme="majorHAnsi" w:hAnsiTheme="majorHAnsi" w:cstheme="majorHAnsi"/>
          <w:bCs/>
          <w:lang w:val="en-GB"/>
        </w:rPr>
        <w:t>About methods and approaches that incorporate EU values such as social inclusion, gender mainstreaming, and solidarity; that can be used (relating to tourism, agriculture and cultural heritage) to reinforce a sense of belonging in the community</w:t>
      </w:r>
      <w:r>
        <w:rPr>
          <w:rFonts w:asciiTheme="majorHAnsi" w:hAnsiTheme="majorHAnsi" w:cstheme="majorHAnsi"/>
          <w:bCs/>
          <w:lang w:val="en-GB"/>
        </w:rPr>
        <w:t xml:space="preserve">; </w:t>
      </w:r>
    </w:p>
    <w:p w14:paraId="2387AD3F" w14:textId="77777777" w:rsidR="005228C7" w:rsidRDefault="005228C7" w:rsidP="005228C7">
      <w:pPr>
        <w:spacing w:after="0" w:line="240" w:lineRule="auto"/>
        <w:ind w:left="720"/>
        <w:jc w:val="both"/>
        <w:rPr>
          <w:rFonts w:asciiTheme="majorHAnsi" w:hAnsiTheme="majorHAnsi" w:cstheme="majorHAnsi"/>
          <w:bCs/>
          <w:lang w:val="en-GB"/>
        </w:rPr>
      </w:pPr>
    </w:p>
    <w:p w14:paraId="4060E9D6" w14:textId="3D5D96B9" w:rsidR="005228C7" w:rsidRPr="005228C7" w:rsidRDefault="005228C7" w:rsidP="005228C7">
      <w:pPr>
        <w:spacing w:after="0"/>
        <w:jc w:val="both"/>
        <w:rPr>
          <w:rFonts w:asciiTheme="majorHAnsi" w:hAnsiTheme="majorHAnsi" w:cstheme="majorHAnsi"/>
          <w:lang w:val="en-GB"/>
        </w:rPr>
      </w:pPr>
      <w:r w:rsidRPr="005228C7">
        <w:rPr>
          <w:rFonts w:asciiTheme="majorHAnsi" w:hAnsiTheme="majorHAnsi" w:cstheme="majorHAnsi"/>
          <w:bCs/>
          <w:lang w:val="en-GB"/>
        </w:rPr>
        <w:t xml:space="preserve">Furthermore, the conclusion of the cooperation agreement at the event’s closing ceremony ensured that the partners enhanced their current cooperation beyond the project implementation.  The two new project ideas will be further developed by the partners for new EU calls for proposals. The citizens’ guidebook and media coverage also had a major impact on the public, such that these communication and dissemination tools allow those not directly included in the project access to the project results.   </w:t>
      </w:r>
    </w:p>
    <w:p w14:paraId="3D540B49" w14:textId="77777777" w:rsidR="005228C7" w:rsidRDefault="005228C7" w:rsidP="005228C7">
      <w:pPr>
        <w:spacing w:after="0"/>
        <w:jc w:val="center"/>
        <w:rPr>
          <w:b/>
          <w:bCs/>
          <w:lang w:val="hr-HR"/>
        </w:rPr>
      </w:pPr>
    </w:p>
    <w:p w14:paraId="629A7DF8" w14:textId="77777777" w:rsidR="005228C7" w:rsidRDefault="005228C7" w:rsidP="005228C7">
      <w:pPr>
        <w:spacing w:after="0"/>
        <w:jc w:val="center"/>
        <w:rPr>
          <w:b/>
          <w:bCs/>
          <w:lang w:val="hr-HR"/>
        </w:rPr>
      </w:pPr>
    </w:p>
    <w:p w14:paraId="25969C2C" w14:textId="77777777" w:rsidR="005228C7" w:rsidRDefault="005228C7" w:rsidP="005228C7">
      <w:pPr>
        <w:spacing w:after="0"/>
        <w:jc w:val="center"/>
        <w:rPr>
          <w:b/>
          <w:bCs/>
          <w:lang w:val="hr-HR"/>
        </w:rPr>
      </w:pPr>
    </w:p>
    <w:p w14:paraId="12F3FCFC" w14:textId="77777777" w:rsidR="00001CF5" w:rsidRDefault="00001CF5" w:rsidP="00001CF5">
      <w:pPr>
        <w:rPr>
          <w:rFonts w:cs="Arial"/>
          <w:bCs/>
          <w:sz w:val="18"/>
          <w:szCs w:val="18"/>
          <w:lang w:val="en-US"/>
        </w:rPr>
      </w:pPr>
      <w:r>
        <w:rPr>
          <w:rFonts w:cs="Arial"/>
          <w:bCs/>
          <w:sz w:val="18"/>
          <w:szCs w:val="18"/>
          <w:lang w:val="en-US"/>
        </w:rPr>
        <w:t>You can access the documents from the event on the following links:</w:t>
      </w:r>
    </w:p>
    <w:p w14:paraId="353D0D37" w14:textId="77777777" w:rsidR="00001CF5" w:rsidRDefault="00001CF5" w:rsidP="00001CF5">
      <w:pPr>
        <w:pStyle w:val="ListParagraph"/>
        <w:numPr>
          <w:ilvl w:val="0"/>
          <w:numId w:val="2"/>
        </w:numPr>
        <w:spacing w:line="276" w:lineRule="auto"/>
        <w:rPr>
          <w:rFonts w:cs="Arial"/>
          <w:bCs/>
          <w:sz w:val="18"/>
          <w:szCs w:val="18"/>
          <w:lang w:val="en-US"/>
        </w:rPr>
      </w:pPr>
      <w:commentRangeStart w:id="0"/>
      <w:r>
        <w:rPr>
          <w:rFonts w:cs="Arial"/>
          <w:bCs/>
          <w:sz w:val="18"/>
          <w:szCs w:val="18"/>
          <w:lang w:val="en-US"/>
        </w:rPr>
        <w:t xml:space="preserve">Agenda for the event </w:t>
      </w:r>
    </w:p>
    <w:p w14:paraId="0230BD44" w14:textId="77777777" w:rsidR="00001CF5" w:rsidRDefault="00001CF5" w:rsidP="00001CF5">
      <w:pPr>
        <w:pStyle w:val="ListParagraph"/>
        <w:numPr>
          <w:ilvl w:val="0"/>
          <w:numId w:val="2"/>
        </w:numPr>
        <w:spacing w:line="276" w:lineRule="auto"/>
        <w:rPr>
          <w:rFonts w:cs="Arial"/>
          <w:bCs/>
          <w:sz w:val="18"/>
          <w:szCs w:val="18"/>
          <w:lang w:val="en-US"/>
        </w:rPr>
      </w:pPr>
      <w:r>
        <w:rPr>
          <w:rFonts w:cs="Arial"/>
          <w:bCs/>
          <w:sz w:val="18"/>
          <w:szCs w:val="18"/>
          <w:lang w:val="en-US"/>
        </w:rPr>
        <w:t xml:space="preserve">Presentations </w:t>
      </w:r>
    </w:p>
    <w:p w14:paraId="22D99BB8" w14:textId="6B5D6425" w:rsidR="00001CF5" w:rsidRDefault="00001CF5" w:rsidP="00001CF5">
      <w:pPr>
        <w:pStyle w:val="ListParagraph"/>
        <w:numPr>
          <w:ilvl w:val="0"/>
          <w:numId w:val="2"/>
        </w:numPr>
        <w:spacing w:line="276" w:lineRule="auto"/>
        <w:rPr>
          <w:rFonts w:cs="Arial"/>
          <w:bCs/>
          <w:sz w:val="18"/>
          <w:szCs w:val="18"/>
          <w:lang w:val="en-US"/>
        </w:rPr>
      </w:pPr>
      <w:r>
        <w:rPr>
          <w:rFonts w:cs="Arial"/>
          <w:bCs/>
          <w:sz w:val="18"/>
          <w:szCs w:val="18"/>
          <w:lang w:val="en-US"/>
        </w:rPr>
        <w:t>Summary of the results of the event (“</w:t>
      </w:r>
      <w:proofErr w:type="spellStart"/>
      <w:r>
        <w:rPr>
          <w:rFonts w:cs="Arial"/>
          <w:bCs/>
          <w:sz w:val="18"/>
          <w:szCs w:val="18"/>
          <w:lang w:val="en-US"/>
        </w:rPr>
        <w:t>Ormoz_Event</w:t>
      </w:r>
      <w:proofErr w:type="spellEnd"/>
      <w:r>
        <w:rPr>
          <w:rFonts w:cs="Arial"/>
          <w:bCs/>
          <w:sz w:val="18"/>
          <w:szCs w:val="18"/>
          <w:lang w:val="en-US"/>
        </w:rPr>
        <w:t xml:space="preserve"> Description </w:t>
      </w:r>
      <w:proofErr w:type="spellStart"/>
      <w:r>
        <w:rPr>
          <w:rFonts w:cs="Arial"/>
          <w:bCs/>
          <w:sz w:val="18"/>
          <w:szCs w:val="18"/>
          <w:lang w:val="en-US"/>
        </w:rPr>
        <w:t>Sheet_sheet</w:t>
      </w:r>
      <w:proofErr w:type="spellEnd"/>
      <w:r>
        <w:rPr>
          <w:rFonts w:cs="Arial"/>
          <w:bCs/>
          <w:sz w:val="18"/>
          <w:szCs w:val="18"/>
          <w:lang w:val="en-US"/>
        </w:rPr>
        <w:t xml:space="preserve"> 2” – in English only)</w:t>
      </w:r>
    </w:p>
    <w:p w14:paraId="1137964D" w14:textId="77777777" w:rsidR="00001CF5" w:rsidRDefault="00001CF5" w:rsidP="00001CF5">
      <w:pPr>
        <w:pStyle w:val="ListParagraph"/>
        <w:numPr>
          <w:ilvl w:val="0"/>
          <w:numId w:val="2"/>
        </w:numPr>
        <w:spacing w:line="276" w:lineRule="auto"/>
        <w:rPr>
          <w:rFonts w:cs="Arial"/>
          <w:bCs/>
          <w:sz w:val="18"/>
          <w:szCs w:val="18"/>
          <w:lang w:val="en-US"/>
        </w:rPr>
      </w:pPr>
      <w:r>
        <w:rPr>
          <w:rFonts w:cs="Arial"/>
          <w:bCs/>
          <w:sz w:val="18"/>
          <w:szCs w:val="18"/>
          <w:lang w:val="en-US"/>
        </w:rPr>
        <w:t>Photos</w:t>
      </w:r>
      <w:commentRangeEnd w:id="0"/>
      <w:r>
        <w:rPr>
          <w:rStyle w:val="CommentReference"/>
          <w:rFonts w:eastAsia="SimSun" w:cs="Times New Roman"/>
          <w:lang w:val="fr-FR" w:eastAsia="zh-CN"/>
        </w:rPr>
        <w:commentReference w:id="0"/>
      </w:r>
    </w:p>
    <w:p w14:paraId="0A1F0BF9" w14:textId="707C0C2E" w:rsidR="00001CF5" w:rsidRPr="0062094F" w:rsidRDefault="00001CF5" w:rsidP="00001CF5">
      <w:pPr>
        <w:pStyle w:val="ListParagraph"/>
        <w:numPr>
          <w:ilvl w:val="0"/>
          <w:numId w:val="2"/>
        </w:numPr>
        <w:spacing w:line="276" w:lineRule="auto"/>
        <w:rPr>
          <w:rFonts w:cs="Arial"/>
          <w:bCs/>
          <w:sz w:val="18"/>
          <w:szCs w:val="18"/>
          <w:lang w:val="en-US"/>
        </w:rPr>
      </w:pPr>
      <w:r>
        <w:rPr>
          <w:rFonts w:cs="Arial"/>
          <w:bCs/>
          <w:sz w:val="18"/>
          <w:szCs w:val="18"/>
          <w:lang w:val="en-US"/>
        </w:rPr>
        <w:t>“Citizen Guidebook” (In English and Slovenian)</w:t>
      </w:r>
    </w:p>
    <w:p w14:paraId="66FFB7EA" w14:textId="19B1710F" w:rsidR="005228C7" w:rsidRPr="00C76517" w:rsidRDefault="00C76517" w:rsidP="00C76517">
      <w:pPr>
        <w:spacing w:after="0"/>
        <w:jc w:val="both"/>
        <w:rPr>
          <w:i/>
          <w:iCs/>
          <w:lang w:val="hr-HR"/>
        </w:rPr>
      </w:pPr>
      <w:proofErr w:type="spellStart"/>
      <w:r w:rsidRPr="00C76517">
        <w:rPr>
          <w:b/>
          <w:bCs/>
          <w:lang w:val="hr-HR"/>
        </w:rPr>
        <w:t>Disclaimer</w:t>
      </w:r>
      <w:proofErr w:type="spellEnd"/>
      <w:r w:rsidRPr="00C76517">
        <w:rPr>
          <w:b/>
          <w:bCs/>
          <w:lang w:val="hr-HR"/>
        </w:rPr>
        <w:t xml:space="preserve">: </w:t>
      </w:r>
      <w:proofErr w:type="spellStart"/>
      <w:r w:rsidRPr="00C76517">
        <w:rPr>
          <w:i/>
          <w:iCs/>
          <w:lang w:val="hr-HR"/>
        </w:rPr>
        <w:t>Funded</w:t>
      </w:r>
      <w:proofErr w:type="spellEnd"/>
      <w:r w:rsidRPr="00C76517">
        <w:rPr>
          <w:i/>
          <w:iCs/>
          <w:lang w:val="hr-HR"/>
        </w:rPr>
        <w:t xml:space="preserve"> </w:t>
      </w:r>
      <w:proofErr w:type="spellStart"/>
      <w:r w:rsidRPr="00C76517">
        <w:rPr>
          <w:i/>
          <w:iCs/>
          <w:lang w:val="hr-HR"/>
        </w:rPr>
        <w:t>by</w:t>
      </w:r>
      <w:proofErr w:type="spellEnd"/>
      <w:r w:rsidRPr="00C76517">
        <w:rPr>
          <w:i/>
          <w:iCs/>
          <w:lang w:val="hr-HR"/>
        </w:rPr>
        <w:t xml:space="preserve"> </w:t>
      </w:r>
      <w:proofErr w:type="spellStart"/>
      <w:r w:rsidRPr="00C76517">
        <w:rPr>
          <w:i/>
          <w:iCs/>
          <w:lang w:val="hr-HR"/>
        </w:rPr>
        <w:t>the</w:t>
      </w:r>
      <w:proofErr w:type="spellEnd"/>
      <w:r w:rsidRPr="00C76517">
        <w:rPr>
          <w:i/>
          <w:iCs/>
          <w:lang w:val="hr-HR"/>
        </w:rPr>
        <w:t xml:space="preserve"> European Union. </w:t>
      </w:r>
      <w:proofErr w:type="spellStart"/>
      <w:r w:rsidRPr="00C76517">
        <w:rPr>
          <w:i/>
          <w:iCs/>
          <w:lang w:val="hr-HR"/>
        </w:rPr>
        <w:t>Views</w:t>
      </w:r>
      <w:proofErr w:type="spellEnd"/>
      <w:r w:rsidRPr="00C76517">
        <w:rPr>
          <w:i/>
          <w:iCs/>
          <w:lang w:val="hr-HR"/>
        </w:rPr>
        <w:t xml:space="preserve"> </w:t>
      </w:r>
      <w:proofErr w:type="spellStart"/>
      <w:r w:rsidRPr="00C76517">
        <w:rPr>
          <w:i/>
          <w:iCs/>
          <w:lang w:val="hr-HR"/>
        </w:rPr>
        <w:t>and</w:t>
      </w:r>
      <w:proofErr w:type="spellEnd"/>
      <w:r w:rsidRPr="00C76517">
        <w:rPr>
          <w:i/>
          <w:iCs/>
          <w:lang w:val="hr-HR"/>
        </w:rPr>
        <w:t xml:space="preserve"> </w:t>
      </w:r>
      <w:proofErr w:type="spellStart"/>
      <w:r w:rsidRPr="00C76517">
        <w:rPr>
          <w:i/>
          <w:iCs/>
          <w:lang w:val="hr-HR"/>
        </w:rPr>
        <w:t>opinions</w:t>
      </w:r>
      <w:proofErr w:type="spellEnd"/>
      <w:r w:rsidRPr="00C76517">
        <w:rPr>
          <w:i/>
          <w:iCs/>
          <w:lang w:val="hr-HR"/>
        </w:rPr>
        <w:t xml:space="preserve"> </w:t>
      </w:r>
      <w:proofErr w:type="spellStart"/>
      <w:r w:rsidRPr="00C76517">
        <w:rPr>
          <w:i/>
          <w:iCs/>
          <w:lang w:val="hr-HR"/>
        </w:rPr>
        <w:t>expressed</w:t>
      </w:r>
      <w:proofErr w:type="spellEnd"/>
      <w:r w:rsidRPr="00C76517">
        <w:rPr>
          <w:i/>
          <w:iCs/>
          <w:lang w:val="hr-HR"/>
        </w:rPr>
        <w:t xml:space="preserve"> are </w:t>
      </w:r>
      <w:proofErr w:type="spellStart"/>
      <w:r w:rsidRPr="00C76517">
        <w:rPr>
          <w:i/>
          <w:iCs/>
          <w:lang w:val="hr-HR"/>
        </w:rPr>
        <w:t>however</w:t>
      </w:r>
      <w:proofErr w:type="spellEnd"/>
      <w:r w:rsidRPr="00C76517">
        <w:rPr>
          <w:i/>
          <w:iCs/>
          <w:lang w:val="hr-HR"/>
        </w:rPr>
        <w:t xml:space="preserve"> </w:t>
      </w:r>
      <w:proofErr w:type="spellStart"/>
      <w:r w:rsidRPr="00C76517">
        <w:rPr>
          <w:i/>
          <w:iCs/>
          <w:lang w:val="hr-HR"/>
        </w:rPr>
        <w:t>those</w:t>
      </w:r>
      <w:proofErr w:type="spellEnd"/>
      <w:r w:rsidRPr="00C76517">
        <w:rPr>
          <w:i/>
          <w:iCs/>
          <w:lang w:val="hr-HR"/>
        </w:rPr>
        <w:t xml:space="preserve"> </w:t>
      </w:r>
      <w:proofErr w:type="spellStart"/>
      <w:r w:rsidRPr="00C76517">
        <w:rPr>
          <w:i/>
          <w:iCs/>
          <w:lang w:val="hr-HR"/>
        </w:rPr>
        <w:t>of</w:t>
      </w:r>
      <w:proofErr w:type="spellEnd"/>
      <w:r w:rsidRPr="00C76517">
        <w:rPr>
          <w:i/>
          <w:iCs/>
          <w:lang w:val="hr-HR"/>
        </w:rPr>
        <w:t xml:space="preserve"> </w:t>
      </w:r>
      <w:proofErr w:type="spellStart"/>
      <w:r w:rsidRPr="00C76517">
        <w:rPr>
          <w:i/>
          <w:iCs/>
          <w:lang w:val="hr-HR"/>
        </w:rPr>
        <w:t>the</w:t>
      </w:r>
      <w:proofErr w:type="spellEnd"/>
      <w:r w:rsidRPr="00C76517">
        <w:rPr>
          <w:i/>
          <w:iCs/>
          <w:lang w:val="hr-HR"/>
        </w:rPr>
        <w:t xml:space="preserve"> </w:t>
      </w:r>
      <w:proofErr w:type="spellStart"/>
      <w:r w:rsidRPr="00C76517">
        <w:rPr>
          <w:i/>
          <w:iCs/>
          <w:lang w:val="hr-HR"/>
        </w:rPr>
        <w:t>author</w:t>
      </w:r>
      <w:proofErr w:type="spellEnd"/>
      <w:r w:rsidRPr="00C76517">
        <w:rPr>
          <w:i/>
          <w:iCs/>
          <w:lang w:val="hr-HR"/>
        </w:rPr>
        <w:t xml:space="preserve">(s) </w:t>
      </w:r>
      <w:proofErr w:type="spellStart"/>
      <w:r w:rsidRPr="00C76517">
        <w:rPr>
          <w:i/>
          <w:iCs/>
          <w:lang w:val="hr-HR"/>
        </w:rPr>
        <w:t>only</w:t>
      </w:r>
      <w:proofErr w:type="spellEnd"/>
      <w:r w:rsidRPr="00C76517">
        <w:rPr>
          <w:i/>
          <w:iCs/>
          <w:lang w:val="hr-HR"/>
        </w:rPr>
        <w:t xml:space="preserve"> </w:t>
      </w:r>
      <w:proofErr w:type="spellStart"/>
      <w:r w:rsidRPr="00C76517">
        <w:rPr>
          <w:i/>
          <w:iCs/>
          <w:lang w:val="hr-HR"/>
        </w:rPr>
        <w:t>and</w:t>
      </w:r>
      <w:proofErr w:type="spellEnd"/>
      <w:r w:rsidRPr="00C76517">
        <w:rPr>
          <w:i/>
          <w:iCs/>
          <w:lang w:val="hr-HR"/>
        </w:rPr>
        <w:t xml:space="preserve"> do </w:t>
      </w:r>
      <w:proofErr w:type="spellStart"/>
      <w:r w:rsidRPr="00C76517">
        <w:rPr>
          <w:i/>
          <w:iCs/>
          <w:lang w:val="hr-HR"/>
        </w:rPr>
        <w:t>not</w:t>
      </w:r>
      <w:proofErr w:type="spellEnd"/>
      <w:r w:rsidRPr="00C76517">
        <w:rPr>
          <w:i/>
          <w:iCs/>
          <w:lang w:val="hr-HR"/>
        </w:rPr>
        <w:t xml:space="preserve"> </w:t>
      </w:r>
      <w:proofErr w:type="spellStart"/>
      <w:r w:rsidRPr="00C76517">
        <w:rPr>
          <w:i/>
          <w:iCs/>
          <w:lang w:val="hr-HR"/>
        </w:rPr>
        <w:t>necessarily</w:t>
      </w:r>
      <w:proofErr w:type="spellEnd"/>
      <w:r w:rsidRPr="00C76517">
        <w:rPr>
          <w:i/>
          <w:iCs/>
          <w:lang w:val="hr-HR"/>
        </w:rPr>
        <w:t xml:space="preserve"> </w:t>
      </w:r>
      <w:proofErr w:type="spellStart"/>
      <w:r w:rsidRPr="00C76517">
        <w:rPr>
          <w:i/>
          <w:iCs/>
          <w:lang w:val="hr-HR"/>
        </w:rPr>
        <w:t>reflect</w:t>
      </w:r>
      <w:proofErr w:type="spellEnd"/>
      <w:r w:rsidRPr="00C76517">
        <w:rPr>
          <w:i/>
          <w:iCs/>
          <w:lang w:val="hr-HR"/>
        </w:rPr>
        <w:t xml:space="preserve"> </w:t>
      </w:r>
      <w:proofErr w:type="spellStart"/>
      <w:r w:rsidRPr="00C76517">
        <w:rPr>
          <w:i/>
          <w:iCs/>
          <w:lang w:val="hr-HR"/>
        </w:rPr>
        <w:t>those</w:t>
      </w:r>
      <w:proofErr w:type="spellEnd"/>
      <w:r w:rsidRPr="00C76517">
        <w:rPr>
          <w:i/>
          <w:iCs/>
          <w:lang w:val="hr-HR"/>
        </w:rPr>
        <w:t xml:space="preserve"> </w:t>
      </w:r>
      <w:proofErr w:type="spellStart"/>
      <w:r w:rsidRPr="00C76517">
        <w:rPr>
          <w:i/>
          <w:iCs/>
          <w:lang w:val="hr-HR"/>
        </w:rPr>
        <w:t>of</w:t>
      </w:r>
      <w:proofErr w:type="spellEnd"/>
      <w:r w:rsidRPr="00C76517">
        <w:rPr>
          <w:i/>
          <w:iCs/>
          <w:lang w:val="hr-HR"/>
        </w:rPr>
        <w:t xml:space="preserve"> </w:t>
      </w:r>
      <w:proofErr w:type="spellStart"/>
      <w:r w:rsidRPr="00C76517">
        <w:rPr>
          <w:i/>
          <w:iCs/>
          <w:lang w:val="hr-HR"/>
        </w:rPr>
        <w:t>the</w:t>
      </w:r>
      <w:proofErr w:type="spellEnd"/>
      <w:r w:rsidRPr="00C76517">
        <w:rPr>
          <w:i/>
          <w:iCs/>
          <w:lang w:val="hr-HR"/>
        </w:rPr>
        <w:t xml:space="preserve"> European Union </w:t>
      </w:r>
      <w:proofErr w:type="spellStart"/>
      <w:r w:rsidRPr="00C76517">
        <w:rPr>
          <w:i/>
          <w:iCs/>
          <w:lang w:val="hr-HR"/>
        </w:rPr>
        <w:t>or</w:t>
      </w:r>
      <w:proofErr w:type="spellEnd"/>
      <w:r w:rsidRPr="00C76517">
        <w:rPr>
          <w:i/>
          <w:iCs/>
          <w:lang w:val="hr-HR"/>
        </w:rPr>
        <w:t xml:space="preserve"> </w:t>
      </w:r>
      <w:proofErr w:type="spellStart"/>
      <w:r w:rsidRPr="00C76517">
        <w:rPr>
          <w:i/>
          <w:iCs/>
          <w:lang w:val="hr-HR"/>
        </w:rPr>
        <w:t>the</w:t>
      </w:r>
      <w:proofErr w:type="spellEnd"/>
      <w:r w:rsidRPr="00C76517">
        <w:rPr>
          <w:i/>
          <w:iCs/>
          <w:lang w:val="hr-HR"/>
        </w:rPr>
        <w:t xml:space="preserve"> EACEA. </w:t>
      </w:r>
      <w:proofErr w:type="spellStart"/>
      <w:r w:rsidRPr="00C76517">
        <w:rPr>
          <w:i/>
          <w:iCs/>
          <w:lang w:val="hr-HR"/>
        </w:rPr>
        <w:t>Neither</w:t>
      </w:r>
      <w:proofErr w:type="spellEnd"/>
      <w:r w:rsidRPr="00C76517">
        <w:rPr>
          <w:i/>
          <w:iCs/>
          <w:lang w:val="hr-HR"/>
        </w:rPr>
        <w:t xml:space="preserve"> </w:t>
      </w:r>
      <w:proofErr w:type="spellStart"/>
      <w:r w:rsidRPr="00C76517">
        <w:rPr>
          <w:i/>
          <w:iCs/>
          <w:lang w:val="hr-HR"/>
        </w:rPr>
        <w:t>the</w:t>
      </w:r>
      <w:proofErr w:type="spellEnd"/>
      <w:r w:rsidRPr="00C76517">
        <w:rPr>
          <w:i/>
          <w:iCs/>
          <w:lang w:val="hr-HR"/>
        </w:rPr>
        <w:t xml:space="preserve"> European Union </w:t>
      </w:r>
      <w:proofErr w:type="spellStart"/>
      <w:r w:rsidRPr="00C76517">
        <w:rPr>
          <w:i/>
          <w:iCs/>
          <w:lang w:val="hr-HR"/>
        </w:rPr>
        <w:t>nor</w:t>
      </w:r>
      <w:proofErr w:type="spellEnd"/>
      <w:r w:rsidRPr="00C76517">
        <w:rPr>
          <w:i/>
          <w:iCs/>
          <w:lang w:val="hr-HR"/>
        </w:rPr>
        <w:t xml:space="preserve"> </w:t>
      </w:r>
      <w:proofErr w:type="spellStart"/>
      <w:r w:rsidRPr="00C76517">
        <w:rPr>
          <w:i/>
          <w:iCs/>
          <w:lang w:val="hr-HR"/>
        </w:rPr>
        <w:t>the</w:t>
      </w:r>
      <w:proofErr w:type="spellEnd"/>
      <w:r w:rsidRPr="00C76517">
        <w:rPr>
          <w:i/>
          <w:iCs/>
          <w:lang w:val="hr-HR"/>
        </w:rPr>
        <w:t xml:space="preserve"> </w:t>
      </w:r>
      <w:proofErr w:type="spellStart"/>
      <w:r w:rsidRPr="00C76517">
        <w:rPr>
          <w:i/>
          <w:iCs/>
          <w:lang w:val="hr-HR"/>
        </w:rPr>
        <w:t>granting</w:t>
      </w:r>
      <w:proofErr w:type="spellEnd"/>
      <w:r w:rsidRPr="00C76517">
        <w:rPr>
          <w:i/>
          <w:iCs/>
          <w:lang w:val="hr-HR"/>
        </w:rPr>
        <w:t xml:space="preserve"> </w:t>
      </w:r>
      <w:proofErr w:type="spellStart"/>
      <w:r w:rsidRPr="00C76517">
        <w:rPr>
          <w:i/>
          <w:iCs/>
          <w:lang w:val="hr-HR"/>
        </w:rPr>
        <w:t>authority</w:t>
      </w:r>
      <w:proofErr w:type="spellEnd"/>
      <w:r w:rsidRPr="00C76517">
        <w:rPr>
          <w:i/>
          <w:iCs/>
          <w:lang w:val="hr-HR"/>
        </w:rPr>
        <w:t xml:space="preserve"> </w:t>
      </w:r>
      <w:proofErr w:type="spellStart"/>
      <w:r w:rsidRPr="00C76517">
        <w:rPr>
          <w:i/>
          <w:iCs/>
          <w:lang w:val="hr-HR"/>
        </w:rPr>
        <w:t>can</w:t>
      </w:r>
      <w:proofErr w:type="spellEnd"/>
      <w:r w:rsidRPr="00C76517">
        <w:rPr>
          <w:i/>
          <w:iCs/>
          <w:lang w:val="hr-HR"/>
        </w:rPr>
        <w:t xml:space="preserve"> </w:t>
      </w:r>
      <w:proofErr w:type="spellStart"/>
      <w:r w:rsidRPr="00C76517">
        <w:rPr>
          <w:i/>
          <w:iCs/>
          <w:lang w:val="hr-HR"/>
        </w:rPr>
        <w:t>be</w:t>
      </w:r>
      <w:proofErr w:type="spellEnd"/>
      <w:r w:rsidRPr="00C76517">
        <w:rPr>
          <w:i/>
          <w:iCs/>
          <w:lang w:val="hr-HR"/>
        </w:rPr>
        <w:t xml:space="preserve"> </w:t>
      </w:r>
      <w:proofErr w:type="spellStart"/>
      <w:r w:rsidRPr="00C76517">
        <w:rPr>
          <w:i/>
          <w:iCs/>
          <w:lang w:val="hr-HR"/>
        </w:rPr>
        <w:t>held</w:t>
      </w:r>
      <w:proofErr w:type="spellEnd"/>
      <w:r w:rsidRPr="00C76517">
        <w:rPr>
          <w:i/>
          <w:iCs/>
          <w:lang w:val="hr-HR"/>
        </w:rPr>
        <w:t xml:space="preserve"> </w:t>
      </w:r>
      <w:proofErr w:type="spellStart"/>
      <w:r w:rsidRPr="00C76517">
        <w:rPr>
          <w:i/>
          <w:iCs/>
          <w:lang w:val="hr-HR"/>
        </w:rPr>
        <w:t>responsible</w:t>
      </w:r>
      <w:proofErr w:type="spellEnd"/>
      <w:r w:rsidRPr="00C76517">
        <w:rPr>
          <w:i/>
          <w:iCs/>
          <w:lang w:val="hr-HR"/>
        </w:rPr>
        <w:t xml:space="preserve"> for </w:t>
      </w:r>
      <w:proofErr w:type="spellStart"/>
      <w:r w:rsidRPr="00C76517">
        <w:rPr>
          <w:i/>
          <w:iCs/>
          <w:lang w:val="hr-HR"/>
        </w:rPr>
        <w:t>them</w:t>
      </w:r>
      <w:proofErr w:type="spellEnd"/>
      <w:r w:rsidRPr="00C76517">
        <w:rPr>
          <w:i/>
          <w:iCs/>
          <w:lang w:val="hr-HR"/>
        </w:rPr>
        <w:t>./</w:t>
      </w:r>
    </w:p>
    <w:sectPr w:rsidR="005228C7" w:rsidRPr="00C76517">
      <w:headerReference w:type="default" r:id="rId12"/>
      <w:footerReference w:type="default" r:id="rId13"/>
      <w:pgSz w:w="11906" w:h="16838"/>
      <w:pgMar w:top="1242" w:right="746" w:bottom="1417" w:left="1417" w:header="426" w:footer="57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trick Galeski Galeski" w:date="2024-10-04T08:52:00Z" w:initials="PG">
    <w:p w14:paraId="1C8DB1C9" w14:textId="77777777" w:rsidR="00001CF5" w:rsidRDefault="00001CF5" w:rsidP="00001CF5">
      <w:pPr>
        <w:pStyle w:val="CommentText"/>
      </w:pPr>
      <w:r>
        <w:rPr>
          <w:rStyle w:val="CommentReference"/>
        </w:rPr>
        <w:annotationRef/>
      </w:r>
      <w:r>
        <w:t xml:space="preserve">For this part, please add the hyperlinks showing this material.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8DB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E4697B" w16cex:dateUtc="2024-10-04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8DB1C9" w16cid:durableId="2EE46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6A6B" w14:textId="77777777" w:rsidR="00345B19" w:rsidRDefault="00345B19">
      <w:pPr>
        <w:spacing w:after="0" w:line="240" w:lineRule="auto"/>
      </w:pPr>
      <w:r>
        <w:separator/>
      </w:r>
    </w:p>
  </w:endnote>
  <w:endnote w:type="continuationSeparator" w:id="0">
    <w:p w14:paraId="2684B34B" w14:textId="77777777" w:rsidR="00345B19" w:rsidRDefault="0034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4BAC" w14:textId="77777777" w:rsidR="00A832C0" w:rsidRDefault="00623DE3">
    <w:pPr>
      <w:pBdr>
        <w:top w:val="nil"/>
        <w:left w:val="nil"/>
        <w:bottom w:val="nil"/>
        <w:right w:val="nil"/>
        <w:between w:val="nil"/>
      </w:pBdr>
      <w:tabs>
        <w:tab w:val="center" w:pos="4536"/>
        <w:tab w:val="right" w:pos="9072"/>
        <w:tab w:val="right" w:pos="9360"/>
      </w:tabs>
      <w:spacing w:after="0" w:line="240" w:lineRule="auto"/>
      <w:ind w:left="-990" w:right="-284"/>
      <w:jc w:val="center"/>
      <w:rPr>
        <w:color w:val="000000"/>
      </w:rPr>
    </w:pPr>
    <w:r>
      <w:rPr>
        <w:noProof/>
        <w:color w:val="000000"/>
        <w:lang w:val="sl-SI" w:eastAsia="sl-SI"/>
      </w:rPr>
      <w:drawing>
        <wp:inline distT="0" distB="0" distL="0" distR="0" wp14:anchorId="00EFF789" wp14:editId="10F7F93F">
          <wp:extent cx="417767" cy="521204"/>
          <wp:effectExtent l="0" t="0" r="0" b="0"/>
          <wp:docPr id="3" name="image3.png" descr="Cestica (Municipality, Varaždin County, Croatia)"/>
          <wp:cNvGraphicFramePr/>
          <a:graphic xmlns:a="http://schemas.openxmlformats.org/drawingml/2006/main">
            <a:graphicData uri="http://schemas.openxmlformats.org/drawingml/2006/picture">
              <pic:pic xmlns:pic="http://schemas.openxmlformats.org/drawingml/2006/picture">
                <pic:nvPicPr>
                  <pic:cNvPr id="0" name="image3.png" descr="Cestica (Municipality, Varaždin County, Croatia)"/>
                  <pic:cNvPicPr preferRelativeResize="0"/>
                </pic:nvPicPr>
                <pic:blipFill>
                  <a:blip r:embed="rId1"/>
                  <a:srcRect/>
                  <a:stretch>
                    <a:fillRect/>
                  </a:stretch>
                </pic:blipFill>
                <pic:spPr>
                  <a:xfrm>
                    <a:off x="0" y="0"/>
                    <a:ext cx="417767" cy="521204"/>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14219B64" wp14:editId="6852FE77">
          <wp:extent cx="1220026" cy="4247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20026" cy="424797"/>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52F90717" wp14:editId="3691D612">
          <wp:extent cx="469023" cy="562827"/>
          <wp:effectExtent l="0" t="0" r="0" b="0"/>
          <wp:docPr id="5" name="image5.png" descr="Ormož"/>
          <wp:cNvGraphicFramePr/>
          <a:graphic xmlns:a="http://schemas.openxmlformats.org/drawingml/2006/main">
            <a:graphicData uri="http://schemas.openxmlformats.org/drawingml/2006/picture">
              <pic:pic xmlns:pic="http://schemas.openxmlformats.org/drawingml/2006/picture">
                <pic:nvPicPr>
                  <pic:cNvPr id="0" name="image5.png" descr="Ormož"/>
                  <pic:cNvPicPr preferRelativeResize="0"/>
                </pic:nvPicPr>
                <pic:blipFill>
                  <a:blip r:embed="rId3"/>
                  <a:srcRect/>
                  <a:stretch>
                    <a:fillRect/>
                  </a:stretch>
                </pic:blipFill>
                <pic:spPr>
                  <a:xfrm>
                    <a:off x="0" y="0"/>
                    <a:ext cx="469023" cy="562827"/>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13CE4CC7" wp14:editId="6C6438C5">
          <wp:extent cx="640080" cy="640080"/>
          <wp:effectExtent l="0" t="0" r="0" b="0"/>
          <wp:docPr id="4" name="image4.png" descr="Image result for municipio di Carviago&quot;"/>
          <wp:cNvGraphicFramePr/>
          <a:graphic xmlns:a="http://schemas.openxmlformats.org/drawingml/2006/main">
            <a:graphicData uri="http://schemas.openxmlformats.org/drawingml/2006/picture">
              <pic:pic xmlns:pic="http://schemas.openxmlformats.org/drawingml/2006/picture">
                <pic:nvPicPr>
                  <pic:cNvPr id="0" name="image4.png" descr="Image result for municipio di Carviago&quot;"/>
                  <pic:cNvPicPr preferRelativeResize="0"/>
                </pic:nvPicPr>
                <pic:blipFill>
                  <a:blip r:embed="rId4"/>
                  <a:srcRect/>
                  <a:stretch>
                    <a:fillRect/>
                  </a:stretch>
                </pic:blipFill>
                <pic:spPr>
                  <a:xfrm>
                    <a:off x="0" y="0"/>
                    <a:ext cx="640080" cy="640080"/>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5BE2CC89" wp14:editId="26CD7E0F">
          <wp:extent cx="1364494" cy="42024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364494" cy="420243"/>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3469DA92" wp14:editId="5BF2D3B3">
          <wp:extent cx="1515616" cy="39088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515616" cy="390888"/>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0DB070DE" wp14:editId="44E6AB45">
          <wp:extent cx="588756" cy="588756"/>
          <wp:effectExtent l="0" t="0" r="0" b="0"/>
          <wp:docPr id="8" name="image8.png" descr="Sásd és térsége"/>
          <wp:cNvGraphicFramePr/>
          <a:graphic xmlns:a="http://schemas.openxmlformats.org/drawingml/2006/main">
            <a:graphicData uri="http://schemas.openxmlformats.org/drawingml/2006/picture">
              <pic:pic xmlns:pic="http://schemas.openxmlformats.org/drawingml/2006/picture">
                <pic:nvPicPr>
                  <pic:cNvPr id="0" name="image8.png" descr="Sásd és térsége"/>
                  <pic:cNvPicPr preferRelativeResize="0"/>
                </pic:nvPicPr>
                <pic:blipFill>
                  <a:blip r:embed="rId7"/>
                  <a:srcRect/>
                  <a:stretch>
                    <a:fillRect/>
                  </a:stretch>
                </pic:blipFill>
                <pic:spPr>
                  <a:xfrm>
                    <a:off x="0" y="0"/>
                    <a:ext cx="588756" cy="5887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2D8DC" w14:textId="77777777" w:rsidR="00345B19" w:rsidRDefault="00345B19">
      <w:pPr>
        <w:spacing w:after="0" w:line="240" w:lineRule="auto"/>
      </w:pPr>
      <w:r>
        <w:separator/>
      </w:r>
    </w:p>
  </w:footnote>
  <w:footnote w:type="continuationSeparator" w:id="0">
    <w:p w14:paraId="24F27480" w14:textId="77777777" w:rsidR="00345B19" w:rsidRDefault="0034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95D6" w14:textId="77777777" w:rsidR="00A832C0" w:rsidRDefault="00623DE3">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8"/>
        <w:szCs w:val="18"/>
      </w:rPr>
      <w:tab/>
    </w:r>
    <w:r>
      <w:rPr>
        <w:rFonts w:ascii="Cambria" w:eastAsia="Cambria" w:hAnsi="Cambria" w:cs="Cambria"/>
        <w:color w:val="000000"/>
        <w:sz w:val="18"/>
        <w:szCs w:val="18"/>
      </w:rPr>
      <w:tab/>
    </w:r>
    <w:r>
      <w:rPr>
        <w:noProof/>
        <w:lang w:val="sl-SI" w:eastAsia="sl-SI"/>
      </w:rPr>
      <w:drawing>
        <wp:anchor distT="0" distB="0" distL="114300" distR="114300" simplePos="0" relativeHeight="251658240" behindDoc="0" locked="0" layoutInCell="1" hidden="0" allowOverlap="1" wp14:anchorId="272D0A78" wp14:editId="05F7727E">
          <wp:simplePos x="0" y="0"/>
          <wp:positionH relativeFrom="column">
            <wp:posOffset>4784725</wp:posOffset>
          </wp:positionH>
          <wp:positionV relativeFrom="paragraph">
            <wp:posOffset>-186689</wp:posOffset>
          </wp:positionV>
          <wp:extent cx="1013460" cy="1024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460" cy="1024255"/>
                  </a:xfrm>
                  <a:prstGeom prst="rect">
                    <a:avLst/>
                  </a:prstGeom>
                  <a:ln/>
                </pic:spPr>
              </pic:pic>
            </a:graphicData>
          </a:graphic>
        </wp:anchor>
      </w:drawing>
    </w:r>
  </w:p>
  <w:p w14:paraId="515BEA0A"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E2E5D6B"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63C2BF44"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1307509"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7B06B23B" w14:textId="77777777" w:rsidR="00A832C0" w:rsidRPr="005308F7" w:rsidRDefault="00623DE3">
    <w:pPr>
      <w:pBdr>
        <w:top w:val="nil"/>
        <w:left w:val="nil"/>
        <w:bottom w:val="nil"/>
        <w:right w:val="nil"/>
        <w:between w:val="nil"/>
      </w:pBdr>
      <w:tabs>
        <w:tab w:val="center" w:pos="4536"/>
        <w:tab w:val="right" w:pos="9072"/>
      </w:tabs>
      <w:spacing w:after="0" w:line="240" w:lineRule="auto"/>
      <w:rPr>
        <w:rFonts w:ascii="Cambria" w:eastAsia="Cambria" w:hAnsi="Cambria" w:cs="Cambria"/>
        <w:color w:val="000000"/>
        <w:sz w:val="18"/>
        <w:szCs w:val="18"/>
        <w:lang w:val="en-US"/>
      </w:rPr>
    </w:pPr>
    <w:r w:rsidRPr="005308F7">
      <w:rPr>
        <w:rFonts w:ascii="Cambria" w:eastAsia="Cambria" w:hAnsi="Cambria" w:cs="Cambria"/>
        <w:color w:val="000000"/>
        <w:sz w:val="18"/>
        <w:szCs w:val="18"/>
        <w:lang w:val="en-US"/>
      </w:rPr>
      <w:t>101091100 — BEYOND (</w:t>
    </w:r>
    <w:r w:rsidRPr="005308F7">
      <w:rPr>
        <w:rFonts w:ascii="Times New Roman" w:eastAsia="Times New Roman" w:hAnsi="Times New Roman" w:cs="Times New Roman"/>
        <w:color w:val="000000"/>
        <w:sz w:val="20"/>
        <w:szCs w:val="20"/>
        <w:lang w:val="en-US"/>
      </w:rPr>
      <w:t>Rural Communities pushing BEYOND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12AD1"/>
    <w:multiLevelType w:val="hybridMultilevel"/>
    <w:tmpl w:val="A282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62A2D"/>
    <w:multiLevelType w:val="hybridMultilevel"/>
    <w:tmpl w:val="71543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06324586">
    <w:abstractNumId w:val="0"/>
  </w:num>
  <w:num w:numId="2" w16cid:durableId="12740945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k Galeski Galeski">
    <w15:presenceInfo w15:providerId="Windows Live" w15:userId="5a003892d9eae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C0"/>
    <w:rsid w:val="00001CF5"/>
    <w:rsid w:val="000052EE"/>
    <w:rsid w:val="00057AC9"/>
    <w:rsid w:val="001137B5"/>
    <w:rsid w:val="00114B91"/>
    <w:rsid w:val="00136293"/>
    <w:rsid w:val="00150358"/>
    <w:rsid w:val="001D2B7D"/>
    <w:rsid w:val="0021432F"/>
    <w:rsid w:val="00264EFA"/>
    <w:rsid w:val="00297A20"/>
    <w:rsid w:val="002F2779"/>
    <w:rsid w:val="003025B1"/>
    <w:rsid w:val="0032568D"/>
    <w:rsid w:val="00345B19"/>
    <w:rsid w:val="00352868"/>
    <w:rsid w:val="00383663"/>
    <w:rsid w:val="003C5037"/>
    <w:rsid w:val="00421844"/>
    <w:rsid w:val="00473051"/>
    <w:rsid w:val="004B1735"/>
    <w:rsid w:val="004B5F02"/>
    <w:rsid w:val="004D674D"/>
    <w:rsid w:val="004F398C"/>
    <w:rsid w:val="005013EE"/>
    <w:rsid w:val="00511BEA"/>
    <w:rsid w:val="0051487A"/>
    <w:rsid w:val="005228C7"/>
    <w:rsid w:val="005308F7"/>
    <w:rsid w:val="00553E8B"/>
    <w:rsid w:val="00576A5F"/>
    <w:rsid w:val="0059427C"/>
    <w:rsid w:val="005B18B0"/>
    <w:rsid w:val="005E3475"/>
    <w:rsid w:val="00623DE3"/>
    <w:rsid w:val="00634B04"/>
    <w:rsid w:val="006408AA"/>
    <w:rsid w:val="006935AC"/>
    <w:rsid w:val="006A008D"/>
    <w:rsid w:val="006D0B71"/>
    <w:rsid w:val="00777D52"/>
    <w:rsid w:val="007A3257"/>
    <w:rsid w:val="007D5F1B"/>
    <w:rsid w:val="007E224F"/>
    <w:rsid w:val="008944F5"/>
    <w:rsid w:val="008D2F30"/>
    <w:rsid w:val="008D5663"/>
    <w:rsid w:val="008E7CBD"/>
    <w:rsid w:val="008F0990"/>
    <w:rsid w:val="00924C0D"/>
    <w:rsid w:val="00926065"/>
    <w:rsid w:val="009626E9"/>
    <w:rsid w:val="0096369F"/>
    <w:rsid w:val="009676CE"/>
    <w:rsid w:val="00983D1E"/>
    <w:rsid w:val="009F393F"/>
    <w:rsid w:val="00A232A6"/>
    <w:rsid w:val="00A43710"/>
    <w:rsid w:val="00A832C0"/>
    <w:rsid w:val="00A8677A"/>
    <w:rsid w:val="00AD58DB"/>
    <w:rsid w:val="00B51FB0"/>
    <w:rsid w:val="00B9667D"/>
    <w:rsid w:val="00BB7AB8"/>
    <w:rsid w:val="00BE3E6B"/>
    <w:rsid w:val="00C118B3"/>
    <w:rsid w:val="00C17302"/>
    <w:rsid w:val="00C506EF"/>
    <w:rsid w:val="00C70530"/>
    <w:rsid w:val="00C7536C"/>
    <w:rsid w:val="00C76517"/>
    <w:rsid w:val="00C860B8"/>
    <w:rsid w:val="00C906D3"/>
    <w:rsid w:val="00CB4285"/>
    <w:rsid w:val="00D25282"/>
    <w:rsid w:val="00D4647C"/>
    <w:rsid w:val="00D50E94"/>
    <w:rsid w:val="00D60536"/>
    <w:rsid w:val="00D6274D"/>
    <w:rsid w:val="00DD78C2"/>
    <w:rsid w:val="00E146D8"/>
    <w:rsid w:val="00E3507E"/>
    <w:rsid w:val="00E4349F"/>
    <w:rsid w:val="00E46E47"/>
    <w:rsid w:val="00E604DD"/>
    <w:rsid w:val="00E64E91"/>
    <w:rsid w:val="00E701EB"/>
    <w:rsid w:val="00E836BC"/>
    <w:rsid w:val="00E86F16"/>
    <w:rsid w:val="00EB6398"/>
    <w:rsid w:val="00F17073"/>
    <w:rsid w:val="00F35B04"/>
    <w:rsid w:val="00F55DD9"/>
    <w:rsid w:val="00F94796"/>
    <w:rsid w:val="00FB0511"/>
    <w:rsid w:val="00FD3C75"/>
    <w:rsid w:val="00FE44E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8D68"/>
  <w15:docId w15:val="{BCC24904-A77E-47DB-915F-CE56A0B4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line="240" w:lineRule="auto"/>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uiPriority w:val="9"/>
    <w:semiHidden/>
    <w:unhideWhenUsed/>
    <w:qFormat/>
    <w:pPr>
      <w:keepNext/>
      <w:tabs>
        <w:tab w:val="left" w:pos="142"/>
      </w:tabs>
      <w:spacing w:after="0" w:line="240" w:lineRule="auto"/>
      <w:jc w:val="both"/>
      <w:outlineLvl w:val="1"/>
    </w:pPr>
    <w:rPr>
      <w:rFonts w:ascii="Cambria" w:eastAsia="Cambria" w:hAnsi="Cambria" w:cs="Cambria"/>
      <w:b/>
      <w:sz w:val="28"/>
      <w:szCs w:val="28"/>
    </w:rPr>
  </w:style>
  <w:style w:type="paragraph" w:styleId="Heading3">
    <w:name w:val="heading 3"/>
    <w:basedOn w:val="Normal"/>
    <w:next w:val="Normal"/>
    <w:uiPriority w:val="9"/>
    <w:semiHidden/>
    <w:unhideWhenUsed/>
    <w:qFormat/>
    <w:pPr>
      <w:keepNext/>
      <w:spacing w:after="0" w:line="240" w:lineRule="auto"/>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B05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0511"/>
  </w:style>
  <w:style w:type="paragraph" w:styleId="Footer">
    <w:name w:val="footer"/>
    <w:basedOn w:val="Normal"/>
    <w:link w:val="FooterChar"/>
    <w:uiPriority w:val="99"/>
    <w:unhideWhenUsed/>
    <w:rsid w:val="00FB05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0511"/>
  </w:style>
  <w:style w:type="character" w:styleId="CommentReference">
    <w:name w:val="annotation reference"/>
    <w:basedOn w:val="DefaultParagraphFont"/>
    <w:uiPriority w:val="99"/>
    <w:unhideWhenUsed/>
    <w:rsid w:val="00F55DD9"/>
    <w:rPr>
      <w:sz w:val="16"/>
      <w:szCs w:val="16"/>
    </w:rPr>
  </w:style>
  <w:style w:type="paragraph" w:styleId="CommentText">
    <w:name w:val="annotation text"/>
    <w:basedOn w:val="Normal"/>
    <w:link w:val="CommentTextChar"/>
    <w:uiPriority w:val="99"/>
    <w:unhideWhenUsed/>
    <w:rsid w:val="00F55DD9"/>
    <w:pPr>
      <w:spacing w:line="240" w:lineRule="auto"/>
    </w:pPr>
    <w:rPr>
      <w:sz w:val="20"/>
      <w:szCs w:val="20"/>
    </w:rPr>
  </w:style>
  <w:style w:type="character" w:customStyle="1" w:styleId="CommentTextChar">
    <w:name w:val="Comment Text Char"/>
    <w:basedOn w:val="DefaultParagraphFont"/>
    <w:link w:val="CommentText"/>
    <w:uiPriority w:val="99"/>
    <w:rsid w:val="00F55DD9"/>
    <w:rPr>
      <w:sz w:val="20"/>
      <w:szCs w:val="20"/>
    </w:rPr>
  </w:style>
  <w:style w:type="paragraph" w:styleId="CommentSubject">
    <w:name w:val="annotation subject"/>
    <w:basedOn w:val="CommentText"/>
    <w:next w:val="CommentText"/>
    <w:link w:val="CommentSubjectChar"/>
    <w:uiPriority w:val="99"/>
    <w:semiHidden/>
    <w:unhideWhenUsed/>
    <w:rsid w:val="00F55DD9"/>
    <w:rPr>
      <w:b/>
      <w:bCs/>
    </w:rPr>
  </w:style>
  <w:style w:type="character" w:customStyle="1" w:styleId="CommentSubjectChar">
    <w:name w:val="Comment Subject Char"/>
    <w:basedOn w:val="CommentTextChar"/>
    <w:link w:val="CommentSubject"/>
    <w:uiPriority w:val="99"/>
    <w:semiHidden/>
    <w:rsid w:val="00F55DD9"/>
    <w:rPr>
      <w:b/>
      <w:bCs/>
      <w:sz w:val="20"/>
      <w:szCs w:val="20"/>
    </w:rPr>
  </w:style>
  <w:style w:type="paragraph" w:styleId="BalloonText">
    <w:name w:val="Balloon Text"/>
    <w:basedOn w:val="Normal"/>
    <w:link w:val="BalloonTextChar"/>
    <w:uiPriority w:val="99"/>
    <w:semiHidden/>
    <w:unhideWhenUsed/>
    <w:rsid w:val="0096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E9"/>
    <w:rPr>
      <w:rFonts w:ascii="Segoe UI" w:hAnsi="Segoe UI" w:cs="Segoe UI"/>
      <w:sz w:val="18"/>
      <w:szCs w:val="18"/>
    </w:rPr>
  </w:style>
  <w:style w:type="paragraph" w:styleId="ListParagraph">
    <w:name w:val="List Paragraph"/>
    <w:basedOn w:val="Normal"/>
    <w:uiPriority w:val="34"/>
    <w:qFormat/>
    <w:rsid w:val="005228C7"/>
    <w:pPr>
      <w:spacing w:line="240" w:lineRule="auto"/>
      <w:ind w:left="720"/>
      <w:contextualSpacing/>
    </w:pPr>
    <w:rPr>
      <w:rFonts w:ascii="Arial" w:eastAsiaTheme="minorHAnsi" w:hAnsi="Arial" w:cstheme="minorBidi"/>
      <w:color w:val="595959"/>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89795">
      <w:bodyDiv w:val="1"/>
      <w:marLeft w:val="0"/>
      <w:marRight w:val="0"/>
      <w:marTop w:val="0"/>
      <w:marBottom w:val="0"/>
      <w:divBdr>
        <w:top w:val="none" w:sz="0" w:space="0" w:color="auto"/>
        <w:left w:val="none" w:sz="0" w:space="0" w:color="auto"/>
        <w:bottom w:val="none" w:sz="0" w:space="0" w:color="auto"/>
        <w:right w:val="none" w:sz="0" w:space="0" w:color="auto"/>
      </w:divBdr>
    </w:div>
    <w:div w:id="85550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234A-E010-4E8C-8567-D4BB7320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609</Words>
  <Characters>3475</Characters>
  <Application>Microsoft Office Word</Application>
  <DocSecurity>0</DocSecurity>
  <Lines>28</Lines>
  <Paragraphs>8</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Patrick Galeski Galeski</cp:lastModifiedBy>
  <cp:revision>1</cp:revision>
  <cp:lastPrinted>2024-10-03T13:00:00Z</cp:lastPrinted>
  <dcterms:created xsi:type="dcterms:W3CDTF">2024-10-29T10:38:00Z</dcterms:created>
  <dcterms:modified xsi:type="dcterms:W3CDTF">2024-10-29T13:06:00Z</dcterms:modified>
</cp:coreProperties>
</file>